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d38a3ec9dd9cf66d68c45128708b23560403bd"/>
      <w:r>
        <w:rPr>
          <w:b/>
        </w:rPr>
        <w:t xml:space="preserve">ПРОТОКОЛ ПРО РЕЗУЛЬТАТИ ЕЛЕКТРОННОГО АУКЦІОНУ № LLE001-UA-20240423-76341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51996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15.05.2024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будівлі заводоуправління на 2-му поверсі (кабінет № 53), площею 9,3 кв.м, за адресою: місто Полтава, вулиця Зіньківська, 3, терміном на 5 років</w:t>
      </w:r>
    </w:p>
    <w:p>
      <w:pPr>
        <w:numPr>
          <w:ilvl w:val="0"/>
          <w:numId w:val="1001"/>
        </w:numPr>
        <w:pStyle w:val="Compact"/>
      </w:pPr>
      <w:r>
        <w:t xml:space="preserve">частина будівлі заводоуправління (кабінет № 53)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19,55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15:59:24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Полтавській та Сумській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42769539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UA178201720355129003001018853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Полтавській та Сумській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42769539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UA178201720355129003001018853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Полтавській та Сумській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42769539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UA238201720355269003000018853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Головне управління Державної казначейської служби України у Полтавській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UA518999980313060094000016719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144,00 грн (сто сорок чотири гривні 00 копійок), у т.ч. ПДВ</w:t>
      </w:r>
      <w:r>
        <w:t xml:space="preserve"> </w:t>
      </w:r>
      <w:r>
        <w:t xml:space="preserve">24,00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5 912,00 грн (п'ять тисяч дев'ятсот дванадцять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200,00 грн без ПДВ (двісті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2024-06-02T09:30:10Z</dcterms:created>
  <dcterms:modified xsi:type="dcterms:W3CDTF">2024-06-02T09:30:10Z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