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51e709daf41204ef274a646a36902e96d5eba9"/>
      <w:r>
        <w:rPr>
          <w:b/>
        </w:rPr>
        <w:t xml:space="preserve">ПРОТОКОЛ ЕЛЕКТРОННОГО АУКЦІОНУ № BSE001-UA-20230317-69771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ЧДН3min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Річка Дніпро в межах Чернігівської області ЧДН3min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</w:t>
      </w:r>
      <w:r>
        <w:t xml:space="preserve"> </w:t>
      </w:r>
      <w:r>
        <w:t xml:space="preserve">Лящ - 2,212 т; Судак звичайний - 0,107 т; Плітка (тараня) - 0,823 т; Щука- 0,224 т; Сом - 0,032 т; Плоскирка - 1,036 т; Синець - 0,139 т; Чехоня - 0,011 т; Білизна - 0,064 т; Карась сріблястий-0,545 т; Окунь - 0,064 т; Лин-0,064 т; Краснопірка - 0,127 т; Клепець - 0,087 т; Верховодка-0,662 т; Рак річковий -0,053 т; рослиноїдні риби (білий, строкатий товстолоб та їхній гібрид, білий амур) - не лімітуються.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Закидні неводи (волоки) з кроком вічка не менше у матні а=36 мм, приводах а= 40 мм, крилах а=50 мм-1; Закидні неводи (волоки) з кроком вічка у матні а=5 мм, крилах а=5 мм-1; Сітки всіх типів з розміром вічка 70 мм і більше-40; Сітки всіх типів з розміром вічка 30-40 мм-60; Ятері з кроком вічка у бочці, котлі а=30 мм, крилах та дворі а=40 мм-20; Ятері раколовні крок вічка у бочці, котлі а=30 мм, крилах та дворі а=40 мм-2.</w:t>
      </w:r>
      <w:r>
        <w:t xml:space="preserve"> </w:t>
      </w:r>
      <w:r>
        <w:t xml:space="preserve">Кількість суден флоту рибної промисловості, допустимі до застосування користувачем під час здійснення спеціального використання водних біоресурсів - 4.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3 351,17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26.03.2023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2024-05-03T19:47:19Z</dcterms:created>
  <dcterms:modified xsi:type="dcterms:W3CDTF">2024-05-03T19:47:19Z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