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cdb289f85d9a7cc196f257f43f5e0cbb2aa2ca8"/>
      <w:r>
        <w:rPr>
          <w:b/>
        </w:rPr>
        <w:t xml:space="preserve">ПРОТОКОЛ ПРО РЕЗУЛЬТАТИ ЕЛЕКТРОННОГО АУКЦІОНУ № SPE001-UA-20230526-03045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(в разі наявності):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Управління приватизації, оренди майна та землі Олександрійської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наявний один учасник (викуп)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Будівля туалету загальною площею 57,4 кв.м за адресою: Кіровоградська область, м. Олександрія, вул. Козацька, 58-А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 загальною площею 57,4 кв.м, підвальний поверх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Лісовіцька Наталія Станіславівна, ІПН/РНОКПП: 2839808162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30 462,00 грн</w:t>
      </w:r>
      <w:r>
        <w:t xml:space="preserve"> </w:t>
      </w:r>
      <w:r>
        <w:rPr>
          <w:i/>
        </w:rPr>
        <w:t xml:space="preserve">У разі прийняття рішення про приватизацію об’єкта шляхом викупу на запропоновану учасником ціну (ціну продажу)</w:t>
      </w:r>
      <w:r>
        <w:rPr>
          <w:i/>
        </w:rPr>
        <w:t xml:space="preserve"> </w:t>
      </w:r>
      <w:r>
        <w:rPr>
          <w:i/>
        </w:rPr>
        <w:t xml:space="preserve">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без урахування ПДВ:</w:t>
      </w:r>
      <w:r>
        <w:t xml:space="preserve"> </w:t>
      </w:r>
      <w:r>
        <w:t xml:space="preserve">35 101,00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7 020,20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з урахуванням ПДВ:</w:t>
      </w:r>
      <w:r>
        <w:t xml:space="preserve"> </w:t>
      </w:r>
      <w:r>
        <w:t xml:space="preserve">42 121,20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6 092,40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для доплати учасником винагороди оператора</w:t>
      </w:r>
      <w:r>
        <w:rPr>
          <w:b/>
        </w:rPr>
        <w:t xml:space="preserve"> </w:t>
      </w:r>
      <w:r>
        <w:rPr>
          <w:b/>
        </w:rPr>
        <w:t xml:space="preserve">(плати за участь в електронному аукціоні), якщо сума такої винагороди 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(плата за участь в електронному аукціоні):</w:t>
      </w:r>
      <w:r>
        <w:t xml:space="preserve"> </w:t>
      </w:r>
      <w:r>
        <w:t xml:space="preserve">1 684,85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учасником, що подав заяву на участь в електронному аукціоні оператору,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на участь в електронному аукціоні/закриту цінову пропозицію,</w:t>
      </w:r>
      <w:r>
        <w:rPr>
          <w:b/>
        </w:rPr>
        <w:t xml:space="preserve"> </w:t>
      </w:r>
      <w:r>
        <w:rPr>
          <w:b/>
        </w:rPr>
        <w:t xml:space="preserve">якщо сума винагороди оператора (плати за участь в електронному аукціоні) 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Управління приватизації, оренди майна та землі Олександрійської міської ради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30225269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Держказначейська служба України, м.Київ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30225269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3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268201720355109010002029126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UA268201720355109010002029126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Управління приватизації, оренди майна та землі Олександрійської міської ради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30225269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Держказначейська служба України, м.Київ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4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288201720355509010000029126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UA288201720355509010000029126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4 407,55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учасником, що подав заяву на участь в електронному аукціоні, розрахунків за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Управління приватизації, оренди майна та землі Олександрійської міської ради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30225269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Держказначейська служба України, м.Київ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30225269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5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288201720355509010000029126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UA288201720355509010000029126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учасником на рахунок 3 після прийняття рішення про приватизацію об’єкта</w:t>
      </w:r>
      <w:r>
        <w:rPr>
          <w:b/>
        </w:rPr>
        <w:t xml:space="preserve"> </w:t>
      </w:r>
      <w:r>
        <w:rPr>
          <w:b/>
        </w:rPr>
        <w:t xml:space="preserve">шляхом викупу, яка дорівнює запропонованій учасником ціні лота (ціні продажу лота) з урахуванням податків</w:t>
      </w:r>
      <w:r>
        <w:rPr>
          <w:b/>
        </w:rPr>
        <w:t xml:space="preserve"> </w:t>
      </w:r>
      <w:r>
        <w:rPr>
          <w:b/>
        </w:rPr>
        <w:t xml:space="preserve">(у випадку їх нарахування), 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37 713,65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15.06.2023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учасник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електронний майданчик якого подано заяву на участь в електронному аукціоні/закриту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об’єкта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Учасник, що подав заяву на участь в електронному аукціоні:</w:t>
      </w:r>
      <w:r>
        <w:t xml:space="preserve"> </w:t>
      </w:r>
      <w:r>
        <w:t xml:space="preserve">Лісовіцька Наталія Станіславівна, ІПН/РНОКПП: 2839808162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Управління приватизації, оренди майна та землі Олександрійської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2024-05-01T06:22:26Z</dcterms:created>
  <dcterms:modified xsi:type="dcterms:W3CDTF">2024-05-01T06:22:26Z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